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7421E0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EE2361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+*yqw*buw*skh*jEy*ugB*dzb*khx*wEe*sku*fsE*zew*-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+*eDs*lyd*lyd*lyd*lyd*loy*rEi*Cky*Efs*kxb*zfE*-</w:t>
            </w:r>
            <w:r>
              <w:rPr>
                <w:rFonts w:ascii="PDF417x" w:hAnsi="PDF417x"/>
                <w:sz w:val="24"/>
                <w:szCs w:val="24"/>
              </w:rPr>
              <w:br/>
              <w:t>+*ftw*vvn*ssf*Ciw*wxa*ohs*yyf*Dji*vdk*BEk*onA*-</w:t>
            </w:r>
            <w:r>
              <w:rPr>
                <w:rFonts w:ascii="PDF417x" w:hAnsi="PDF417x"/>
                <w:sz w:val="24"/>
                <w:szCs w:val="24"/>
              </w:rPr>
              <w:br/>
              <w:t>+*ftA*iju*glz*idy*yxm*mzi*wdc*uwg*yfi*mjr*uws*-</w:t>
            </w:r>
            <w:r>
              <w:rPr>
                <w:rFonts w:ascii="PDF417x" w:hAnsi="PDF417x"/>
                <w:sz w:val="24"/>
                <w:szCs w:val="24"/>
              </w:rPr>
              <w:br/>
              <w:t>+*xjq*hkj*Dhw*ody*Ens*bkm*bko*qky*rva*ljt*uzq*-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E237457" w14:textId="77777777" w:rsidTr="005F330D">
        <w:trPr>
          <w:trHeight w:val="851"/>
        </w:trPr>
        <w:tc>
          <w:tcPr>
            <w:tcW w:w="0" w:type="auto"/>
          </w:tcPr>
          <w:p w14:paraId="4E87786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926B796" wp14:editId="2D5D9EE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FB11B11" w14:textId="77777777" w:rsidTr="004F6767">
        <w:trPr>
          <w:trHeight w:val="276"/>
        </w:trPr>
        <w:tc>
          <w:tcPr>
            <w:tcW w:w="0" w:type="auto"/>
          </w:tcPr>
          <w:p w14:paraId="713314C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00334EC" w14:textId="77777777" w:rsidTr="004F6767">
        <w:trPr>
          <w:trHeight w:val="291"/>
        </w:trPr>
        <w:tc>
          <w:tcPr>
            <w:tcW w:w="0" w:type="auto"/>
          </w:tcPr>
          <w:p w14:paraId="58682FE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BA816E3" w14:textId="77777777" w:rsidTr="004F6767">
        <w:trPr>
          <w:trHeight w:val="276"/>
        </w:trPr>
        <w:tc>
          <w:tcPr>
            <w:tcW w:w="0" w:type="auto"/>
          </w:tcPr>
          <w:p w14:paraId="0612007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E523426" w14:textId="77777777" w:rsidTr="004F6767">
        <w:trPr>
          <w:trHeight w:val="291"/>
        </w:trPr>
        <w:tc>
          <w:tcPr>
            <w:tcW w:w="0" w:type="auto"/>
          </w:tcPr>
          <w:p w14:paraId="7A82FDDE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2A74B1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6F81DB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7992BC8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A3185E1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B02EED9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A91E23C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C57BA3" w14:textId="52971D04" w:rsidR="00646DD7" w:rsidRPr="00F23007" w:rsidRDefault="00646DD7" w:rsidP="00646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Temeljem članka 32. Statuta Grada Pregrade 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(„Službeni glasnik Krapinsko-zagorske županije“ br. 6/13, 17/13, 7/18, 16/18- 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), a povodom razmatranja Izvješća o radu i Financijskog izvješća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 te Izvješća Sportske zajednice Grada Pregrade o korištenju nekretnina u vlasništvu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godinu, Gradsko vijeće Grada Pregrade na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25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sjednici 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održanoj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., donijelo je sljedeći</w:t>
      </w:r>
    </w:p>
    <w:p w14:paraId="3824EC9D" w14:textId="77777777" w:rsidR="00646DD7" w:rsidRPr="00F23007" w:rsidRDefault="00646DD7" w:rsidP="00646DD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B96190D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84BF5A4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ZAKLJUČAK</w:t>
      </w:r>
    </w:p>
    <w:p w14:paraId="251B8067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2B19B182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Članak 1. </w:t>
      </w:r>
    </w:p>
    <w:p w14:paraId="13BB83A6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BB62C5B" w14:textId="77777777" w:rsidR="00646DD7" w:rsidRPr="00F23007" w:rsidRDefault="00646DD7" w:rsidP="00646DD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bookmarkStart w:id="0" w:name="_Hlk32480054"/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Usvaja se Izvješće o radu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 i Financijsko Izvješće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36D0699D" w14:textId="77777777" w:rsidR="00646DD7" w:rsidRPr="00F23007" w:rsidRDefault="00646DD7" w:rsidP="00646DD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4707B9B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Članak 2.</w:t>
      </w:r>
    </w:p>
    <w:p w14:paraId="1A42E5C4" w14:textId="77777777" w:rsidR="00646DD7" w:rsidRPr="00F23007" w:rsidRDefault="00646DD7" w:rsidP="00646DD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3755ECE" w14:textId="77777777" w:rsidR="00646DD7" w:rsidRPr="00F23007" w:rsidRDefault="00646DD7" w:rsidP="00646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Usvaja se Izvješće Sportske zajednice Grada Pregrade o korištenju nekretnina u vlasništvu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18C2CD12" w14:textId="77777777" w:rsidR="00646DD7" w:rsidRPr="00F23007" w:rsidRDefault="00646DD7" w:rsidP="00646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0441E2EA" w14:textId="77777777" w:rsidR="00646DD7" w:rsidRPr="00F23007" w:rsidRDefault="00646DD7" w:rsidP="00646DD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EAAE766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Članak 3.</w:t>
      </w:r>
    </w:p>
    <w:p w14:paraId="2D7C1D55" w14:textId="77777777" w:rsidR="00646DD7" w:rsidRPr="00F23007" w:rsidRDefault="00646DD7" w:rsidP="00646DD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0D7E014D" w14:textId="77777777" w:rsidR="00646DD7" w:rsidRPr="00F23007" w:rsidRDefault="00646DD7" w:rsidP="00646DD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Ovaj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Z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aključak stupa na snagu danom donošenja.</w:t>
      </w:r>
    </w:p>
    <w:bookmarkEnd w:id="0"/>
    <w:p w14:paraId="36049C06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9E25CBB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C0C67DF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2F9AC1A" w14:textId="77777777" w:rsidR="00646DD7" w:rsidRPr="00F23007" w:rsidRDefault="00646DD7" w:rsidP="00646DD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F4C5655" w14:textId="77777777" w:rsidR="00646DD7" w:rsidRPr="00F23007" w:rsidRDefault="00646DD7" w:rsidP="00646DD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 xml:space="preserve">       PREDSJEDNICA</w:t>
      </w:r>
    </w:p>
    <w:p w14:paraId="5E98E281" w14:textId="77777777" w:rsidR="00646DD7" w:rsidRPr="00F23007" w:rsidRDefault="00646DD7" w:rsidP="00646DD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2A3650CC" w14:textId="77777777" w:rsidR="00646DD7" w:rsidRPr="00F23007" w:rsidRDefault="00646DD7" w:rsidP="00646DD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</w:p>
    <w:p w14:paraId="00C66519" w14:textId="77777777" w:rsidR="00646DD7" w:rsidRPr="00B92D0F" w:rsidRDefault="00646DD7" w:rsidP="00646DD7">
      <w:pPr>
        <w:jc w:val="right"/>
        <w:rPr>
          <w:rFonts w:eastAsia="Times New Roman" w:cs="Times New Roman"/>
          <w:noProof w:val="0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>Vesna Petek</w:t>
      </w:r>
    </w:p>
    <w:p w14:paraId="56213264" w14:textId="77777777" w:rsidR="00646DD7" w:rsidRPr="00B92D0F" w:rsidRDefault="00646DD7" w:rsidP="00646DD7">
      <w:pPr>
        <w:spacing w:after="160" w:line="259" w:lineRule="auto"/>
        <w:rPr>
          <w:rFonts w:eastAsia="Times New Roman" w:cs="Times New Roman"/>
          <w:noProof w:val="0"/>
        </w:rPr>
      </w:pPr>
    </w:p>
    <w:p w14:paraId="7EFDFA8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08072D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AC1A64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213B58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BA6D518" wp14:editId="4A49E23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6E70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A6D51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E76E70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B65AC"/>
    <w:rsid w:val="003F65C1"/>
    <w:rsid w:val="004D3807"/>
    <w:rsid w:val="004F4C90"/>
    <w:rsid w:val="005F330D"/>
    <w:rsid w:val="00646DD7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D1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CE3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2025-03-28T11:14:00Z</cp:lastPrinted>
  <dcterms:created xsi:type="dcterms:W3CDTF">2025-03-31T09:34:00Z</dcterms:created>
  <dcterms:modified xsi:type="dcterms:W3CDTF">2025-03-31T09:34:00Z</dcterms:modified>
</cp:coreProperties>
</file>